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udiology Assistant (Paediatrics)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o assist the audiology staff in the performance of their duties. To perform a wide range of routine tasks, including patient preparation and routine equipment maintenance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4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by cleaning, disinfection and storing car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36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personal protective equipment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36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8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environments and resources for use in health care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nvironments and resources for use dur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38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others in providing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the practitioner to implement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8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during and after clinical/therapeutic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undergo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31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7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98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put data/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U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user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8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G. MEDICAL DEVICES, PRODUCTS &amp; EQUI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4.1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equipment, medical devices and products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7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duct routine maintenance on clinical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9/competence/show/html/id/263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